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69FB2" w14:textId="6EBAF3AD" w:rsidR="00F15A70" w:rsidRPr="00F15A70" w:rsidRDefault="004903CA" w:rsidP="00F15A70">
      <w:pPr>
        <w:shd w:val="clear" w:color="auto" w:fill="FFFFFF"/>
        <w:spacing w:before="100" w:beforeAutospacing="1" w:after="100" w:afterAutospacing="1" w:line="958" w:lineRule="atLeast"/>
        <w:jc w:val="center"/>
        <w:outlineLvl w:val="0"/>
        <w:rPr>
          <w:rFonts w:ascii="Noto Sans JP" w:eastAsia="Noto Sans JP" w:hAnsi="Noto Sans JP" w:cs="Open Sans Condensed"/>
          <w:b/>
          <w:bCs/>
          <w:caps/>
          <w:color w:val="125D67"/>
          <w:spacing w:val="14"/>
          <w:kern w:val="36"/>
          <w:sz w:val="56"/>
          <w:szCs w:val="56"/>
          <w:lang w:eastAsia="en-GB"/>
          <w14:ligatures w14:val="none"/>
        </w:rPr>
      </w:pPr>
      <w:r>
        <w:rPr>
          <w:rFonts w:ascii="Noto Sans JP" w:eastAsia="Noto Sans JP" w:hAnsi="Noto Sans JP" w:cs="Open Sans Condensed"/>
          <w:b/>
          <w:bCs/>
          <w:caps/>
          <w:noProof/>
          <w:color w:val="125D67"/>
          <w:spacing w:val="14"/>
          <w:kern w:val="36"/>
          <w:sz w:val="56"/>
          <w:szCs w:val="56"/>
          <w:lang w:eastAsia="en-GB"/>
          <w14:ligatures w14:val="none"/>
        </w:rPr>
        <w:drawing>
          <wp:inline distT="0" distB="0" distL="0" distR="0" wp14:anchorId="28EBBE03" wp14:editId="17C7AC39">
            <wp:extent cx="2143125" cy="1812045"/>
            <wp:effectExtent l="0" t="0" r="0" b="0"/>
            <wp:docPr id="1064760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67" cy="182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A70" w:rsidRPr="00F15A70">
        <w:rPr>
          <w:rFonts w:ascii="Noto Sans JP" w:eastAsia="Noto Sans JP" w:hAnsi="Noto Sans JP" w:cs="Open Sans Condensed"/>
          <w:b/>
          <w:bCs/>
          <w:caps/>
          <w:color w:val="125D67"/>
          <w:spacing w:val="14"/>
          <w:kern w:val="36"/>
          <w:sz w:val="56"/>
          <w:szCs w:val="56"/>
          <w:lang w:eastAsia="en-GB"/>
          <w14:ligatures w14:val="none"/>
        </w:rPr>
        <w:t>REGIOGREENTEX</w:t>
      </w:r>
    </w:p>
    <w:p w14:paraId="37D94C6D" w14:textId="77777777" w:rsidR="00F15A70" w:rsidRPr="00F15A70" w:rsidRDefault="00F15A70" w:rsidP="00F710B6">
      <w:pPr>
        <w:shd w:val="clear" w:color="auto" w:fill="1C9579"/>
        <w:spacing w:after="0" w:line="240" w:lineRule="auto"/>
        <w:outlineLvl w:val="1"/>
        <w:rPr>
          <w:rFonts w:ascii="Noto Sans JP" w:eastAsia="Noto Sans JP" w:hAnsi="Noto Sans JP" w:cs="Times New Roman"/>
          <w:b/>
          <w:bCs/>
          <w:color w:val="FFFFFF"/>
          <w:kern w:val="0"/>
          <w:sz w:val="24"/>
          <w:szCs w:val="24"/>
          <w:lang w:eastAsia="en-GB"/>
          <w14:ligatures w14:val="none"/>
        </w:rPr>
      </w:pPr>
      <w:r w:rsidRPr="00F15A70">
        <w:rPr>
          <w:rFonts w:ascii="Noto Sans JP" w:eastAsia="Noto Sans JP" w:hAnsi="Noto Sans JP" w:cs="Times New Roman"/>
          <w:b/>
          <w:bCs/>
          <w:color w:val="FFFFFF"/>
          <w:kern w:val="0"/>
          <w:sz w:val="24"/>
          <w:szCs w:val="24"/>
          <w:lang w:eastAsia="en-GB"/>
          <w14:ligatures w14:val="none"/>
        </w:rPr>
        <w:t>Subscribe to our </w:t>
      </w:r>
      <w:hyperlink r:id="rId8" w:tgtFrame="_blank" w:history="1">
        <w:r w:rsidRPr="00F15A70">
          <w:rPr>
            <w:rFonts w:ascii="Noto Sans JP" w:eastAsia="Noto Sans JP" w:hAnsi="Noto Sans JP" w:cs="Times New Roman"/>
            <w:b/>
            <w:bCs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newsletter</w:t>
        </w:r>
      </w:hyperlink>
      <w:r w:rsidRPr="00F15A70">
        <w:rPr>
          <w:rFonts w:ascii="Tahoma" w:eastAsia="Noto Sans JP" w:hAnsi="Tahoma" w:cs="Tahoma"/>
          <w:b/>
          <w:bCs/>
          <w:color w:val="FFFFFF"/>
          <w:kern w:val="0"/>
          <w:sz w:val="24"/>
          <w:szCs w:val="24"/>
          <w:lang w:eastAsia="en-GB"/>
          <w14:ligatures w14:val="none"/>
        </w:rPr>
        <w:t>﻿﻿﻿</w:t>
      </w:r>
      <w:r w:rsidRPr="00F15A70">
        <w:rPr>
          <w:rFonts w:ascii="Tahoma" w:eastAsia="Noto Sans JP" w:hAnsi="Tahoma" w:cs="Tahoma"/>
          <w:b/>
          <w:bCs/>
          <w:color w:val="FFFFFF"/>
          <w:kern w:val="0"/>
          <w:sz w:val="24"/>
          <w:szCs w:val="24"/>
          <w:u w:val="single"/>
          <w:lang w:eastAsia="en-GB"/>
          <w14:ligatures w14:val="none"/>
        </w:rPr>
        <w:t>﻿</w:t>
      </w:r>
    </w:p>
    <w:p w14:paraId="2655C67E" w14:textId="77777777" w:rsidR="00F15A70" w:rsidRPr="00F15A70" w:rsidRDefault="00F15A70" w:rsidP="00F15A70">
      <w:pPr>
        <w:shd w:val="clear" w:color="auto" w:fill="FFFFFF"/>
        <w:spacing w:after="0" w:line="240" w:lineRule="auto"/>
        <w:jc w:val="center"/>
        <w:outlineLvl w:val="1"/>
        <w:rPr>
          <w:rFonts w:ascii="Noto Sans JP" w:eastAsia="Noto Sans JP" w:hAnsi="Noto Sans JP" w:cs="Times New Roman"/>
          <w:b/>
          <w:bCs/>
          <w:color w:val="3C424F"/>
          <w:kern w:val="0"/>
          <w:sz w:val="40"/>
          <w:szCs w:val="40"/>
          <w:lang w:eastAsia="en-GB"/>
          <w14:ligatures w14:val="none"/>
        </w:rPr>
      </w:pPr>
      <w:r w:rsidRPr="00F15A70">
        <w:rPr>
          <w:rFonts w:ascii="Noto Sans JP" w:eastAsia="Noto Sans JP" w:hAnsi="Noto Sans JP" w:cs="Times New Roman"/>
          <w:b/>
          <w:bCs/>
          <w:color w:val="023F4E"/>
          <w:kern w:val="0"/>
          <w:sz w:val="40"/>
          <w:szCs w:val="40"/>
          <w:lang w:eastAsia="en-GB"/>
          <w14:ligatures w14:val="none"/>
        </w:rPr>
        <w:t>Strengthening innovative textile</w:t>
      </w:r>
      <w:r w:rsidRPr="00F15A70">
        <w:rPr>
          <w:rFonts w:ascii="Noto Sans JP" w:eastAsia="Noto Sans JP" w:hAnsi="Noto Sans JP" w:cs="Times New Roman"/>
          <w:b/>
          <w:bCs/>
          <w:color w:val="3C424F"/>
          <w:kern w:val="0"/>
          <w:sz w:val="40"/>
          <w:szCs w:val="40"/>
          <w:lang w:eastAsia="en-GB"/>
          <w14:ligatures w14:val="none"/>
        </w:rPr>
        <w:br/>
      </w:r>
      <w:r w:rsidRPr="00F15A70">
        <w:rPr>
          <w:rFonts w:ascii="Noto Sans JP" w:eastAsia="Noto Sans JP" w:hAnsi="Noto Sans JP" w:cs="Times New Roman"/>
          <w:b/>
          <w:bCs/>
          <w:color w:val="023F4E"/>
          <w:kern w:val="0"/>
          <w:sz w:val="40"/>
          <w:szCs w:val="40"/>
          <w:lang w:eastAsia="en-GB"/>
          <w14:ligatures w14:val="none"/>
        </w:rPr>
        <w:t>circularity in Europe’s regions</w:t>
      </w:r>
    </w:p>
    <w:p w14:paraId="43ACA1E5" w14:textId="77777777" w:rsidR="00F15A70" w:rsidRPr="00F15A70" w:rsidRDefault="00F15A70" w:rsidP="00F15A70">
      <w:pPr>
        <w:shd w:val="clear" w:color="auto" w:fill="FFFFFF"/>
        <w:spacing w:beforeAutospacing="1" w:after="0" w:afterAutospacing="1" w:line="240" w:lineRule="auto"/>
        <w:jc w:val="center"/>
        <w:rPr>
          <w:rFonts w:ascii="Noto Sans JP" w:eastAsia="Noto Sans JP" w:hAnsi="Noto Sans JP" w:cs="Times New Roman"/>
          <w:color w:val="3C424F"/>
          <w:kern w:val="0"/>
          <w:sz w:val="20"/>
          <w:szCs w:val="20"/>
          <w:lang w:eastAsia="en-GB"/>
          <w14:ligatures w14:val="none"/>
        </w:rPr>
      </w:pPr>
      <w:r w:rsidRPr="00F15A70">
        <w:rPr>
          <w:rFonts w:ascii="Noto Sans JP" w:eastAsia="Noto Sans JP" w:hAnsi="Noto Sans JP" w:cs="Times New Roman"/>
          <w:color w:val="023F4E"/>
          <w:kern w:val="0"/>
          <w:sz w:val="20"/>
          <w:szCs w:val="20"/>
          <w:lang w:eastAsia="en-GB"/>
          <w14:ligatures w14:val="none"/>
        </w:rPr>
        <w:t>In the framework of the European Green Deal, RegioGreenTex is a project promoting the collaboration in research and development for the textile industry to establish a systematic circular economy business model across the EU.</w:t>
      </w:r>
    </w:p>
    <w:p w14:paraId="306D0768" w14:textId="77777777" w:rsidR="00F15A70" w:rsidRPr="00F15A70" w:rsidRDefault="00F15A70" w:rsidP="00F15A70">
      <w:pPr>
        <w:shd w:val="clear" w:color="auto" w:fill="FFFFFF"/>
        <w:spacing w:after="0" w:line="240" w:lineRule="auto"/>
        <w:outlineLvl w:val="2"/>
        <w:rPr>
          <w:rFonts w:ascii="Noto Sans JP" w:eastAsia="Noto Sans JP" w:hAnsi="Noto Sans JP" w:cs="Open Sans Condensed"/>
          <w:color w:val="125D67"/>
          <w:kern w:val="0"/>
          <w:sz w:val="24"/>
          <w:szCs w:val="24"/>
          <w:lang w:eastAsia="en-GB"/>
          <w14:ligatures w14:val="none"/>
        </w:rPr>
      </w:pPr>
      <w:r w:rsidRPr="00F15A70">
        <w:rPr>
          <w:rFonts w:ascii="Noto Sans JP" w:eastAsia="Noto Sans JP" w:hAnsi="Noto Sans JP" w:cs="Open Sans"/>
          <w:b/>
          <w:bCs/>
          <w:color w:val="023F4E"/>
          <w:kern w:val="0"/>
          <w:sz w:val="24"/>
          <w:szCs w:val="24"/>
          <w:lang w:eastAsia="en-GB"/>
          <w14:ligatures w14:val="none"/>
        </w:rPr>
        <w:t>OBJECTIVES</w:t>
      </w:r>
      <w:r w:rsidRPr="00F15A70">
        <w:rPr>
          <w:rFonts w:ascii="Tahoma" w:eastAsia="Noto Sans JP" w:hAnsi="Tahoma" w:cs="Tahoma"/>
          <w:b/>
          <w:bCs/>
          <w:color w:val="125D67"/>
          <w:kern w:val="0"/>
          <w:sz w:val="24"/>
          <w:szCs w:val="24"/>
          <w:lang w:eastAsia="en-GB"/>
          <w14:ligatures w14:val="none"/>
        </w:rPr>
        <w:t>﻿</w:t>
      </w:r>
    </w:p>
    <w:p w14:paraId="61C1EEC8" w14:textId="77777777" w:rsidR="00F15A70" w:rsidRPr="00F15A70" w:rsidRDefault="00F15A70" w:rsidP="00F15A70">
      <w:pPr>
        <w:shd w:val="clear" w:color="auto" w:fill="FFFFFF"/>
        <w:spacing w:after="0" w:line="240" w:lineRule="auto"/>
        <w:outlineLvl w:val="4"/>
        <w:rPr>
          <w:rFonts w:ascii="Noto Sans JP" w:eastAsia="Noto Sans JP" w:hAnsi="Noto Sans JP" w:cs="Times New Roman"/>
          <w:b/>
          <w:bCs/>
          <w:color w:val="3C424F"/>
          <w:spacing w:val="30"/>
          <w:kern w:val="0"/>
          <w:sz w:val="20"/>
          <w:szCs w:val="20"/>
          <w:lang w:eastAsia="en-GB"/>
          <w14:ligatures w14:val="none"/>
        </w:rPr>
      </w:pPr>
      <w:r w:rsidRPr="00F15A70">
        <w:rPr>
          <w:rFonts w:ascii="Noto Sans JP" w:eastAsia="Noto Sans JP" w:hAnsi="Noto Sans JP" w:cs="Times New Roman"/>
          <w:b/>
          <w:bCs/>
          <w:color w:val="023F4E"/>
          <w:spacing w:val="30"/>
          <w:kern w:val="0"/>
          <w:sz w:val="20"/>
          <w:szCs w:val="20"/>
          <w:lang w:eastAsia="en-GB"/>
          <w14:ligatures w14:val="none"/>
        </w:rPr>
        <w:t>1. MAP NEEDS</w:t>
      </w:r>
    </w:p>
    <w:p w14:paraId="67F24BDD" w14:textId="77777777" w:rsidR="00F15A70" w:rsidRPr="00F15A70" w:rsidRDefault="00F15A70" w:rsidP="00F15A70">
      <w:pPr>
        <w:shd w:val="clear" w:color="auto" w:fill="FFFFFF"/>
        <w:spacing w:after="0" w:line="240" w:lineRule="auto"/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</w:pPr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t>Map the needs and potentiality in the implementation of a circular economy among European regions and clusters and their different levels of economic development.</w:t>
      </w:r>
    </w:p>
    <w:p w14:paraId="55555BFD" w14:textId="77777777" w:rsidR="00F15A70" w:rsidRPr="00F15A70" w:rsidRDefault="00F15A70" w:rsidP="00F15A70">
      <w:pPr>
        <w:shd w:val="clear" w:color="auto" w:fill="FFFFFF"/>
        <w:spacing w:after="0" w:line="240" w:lineRule="auto"/>
        <w:outlineLvl w:val="4"/>
        <w:rPr>
          <w:rFonts w:ascii="Noto Sans JP" w:eastAsia="Noto Sans JP" w:hAnsi="Noto Sans JP" w:cs="Times New Roman"/>
          <w:b/>
          <w:bCs/>
          <w:color w:val="3C424F"/>
          <w:spacing w:val="30"/>
          <w:kern w:val="0"/>
          <w:sz w:val="20"/>
          <w:szCs w:val="20"/>
          <w:lang w:eastAsia="en-GB"/>
          <w14:ligatures w14:val="none"/>
        </w:rPr>
      </w:pPr>
      <w:r w:rsidRPr="00F15A70">
        <w:rPr>
          <w:rFonts w:ascii="Noto Sans JP" w:eastAsia="Noto Sans JP" w:hAnsi="Noto Sans JP" w:cs="Times New Roman"/>
          <w:b/>
          <w:bCs/>
          <w:color w:val="023F4E"/>
          <w:spacing w:val="30"/>
          <w:kern w:val="0"/>
          <w:sz w:val="20"/>
          <w:szCs w:val="20"/>
          <w:lang w:eastAsia="en-GB"/>
          <w14:ligatures w14:val="none"/>
        </w:rPr>
        <w:t>2. BUILD ECOSYSTEM</w:t>
      </w:r>
    </w:p>
    <w:p w14:paraId="46B6D8AB" w14:textId="77777777" w:rsidR="00F15A70" w:rsidRPr="00F15A70" w:rsidRDefault="00F15A70" w:rsidP="00F15A70">
      <w:pPr>
        <w:shd w:val="clear" w:color="auto" w:fill="FFFFFF"/>
        <w:spacing w:after="0" w:line="240" w:lineRule="auto"/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</w:pPr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t>Build a dynamic recycling textile ecosystem at European level by making demand and offer meet on a shared digital platform.</w:t>
      </w:r>
    </w:p>
    <w:p w14:paraId="6FA2F734" w14:textId="77777777" w:rsidR="00F15A70" w:rsidRPr="00F15A70" w:rsidRDefault="00F15A70" w:rsidP="00F15A70">
      <w:pPr>
        <w:shd w:val="clear" w:color="auto" w:fill="FFFFFF"/>
        <w:spacing w:after="0" w:line="240" w:lineRule="auto"/>
        <w:outlineLvl w:val="4"/>
        <w:rPr>
          <w:rFonts w:ascii="Noto Sans JP" w:eastAsia="Noto Sans JP" w:hAnsi="Noto Sans JP" w:cs="Times New Roman"/>
          <w:b/>
          <w:bCs/>
          <w:color w:val="3C424F"/>
          <w:spacing w:val="30"/>
          <w:kern w:val="0"/>
          <w:sz w:val="20"/>
          <w:szCs w:val="20"/>
          <w:lang w:eastAsia="en-GB"/>
          <w14:ligatures w14:val="none"/>
        </w:rPr>
      </w:pPr>
      <w:r w:rsidRPr="00F15A70">
        <w:rPr>
          <w:rFonts w:ascii="Noto Sans JP" w:eastAsia="Noto Sans JP" w:hAnsi="Noto Sans JP" w:cs="Times New Roman"/>
          <w:b/>
          <w:bCs/>
          <w:color w:val="023F4E"/>
          <w:spacing w:val="30"/>
          <w:kern w:val="0"/>
          <w:sz w:val="20"/>
          <w:szCs w:val="20"/>
          <w:lang w:eastAsia="en-GB"/>
          <w14:ligatures w14:val="none"/>
        </w:rPr>
        <w:t>3. SUPPORT SMEs</w:t>
      </w:r>
    </w:p>
    <w:p w14:paraId="59F272FC" w14:textId="77777777" w:rsidR="00F15A70" w:rsidRPr="00F15A70" w:rsidRDefault="00F15A70" w:rsidP="00F15A70">
      <w:pPr>
        <w:shd w:val="clear" w:color="auto" w:fill="FFFFFF"/>
        <w:spacing w:after="0" w:line="240" w:lineRule="auto"/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</w:pPr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t>Support SMEs pilot projects to accelerate the creation, development and use of new textile materials with increased recycled content by sharing technologies and methodologies.</w:t>
      </w:r>
    </w:p>
    <w:p w14:paraId="4532195E" w14:textId="77777777" w:rsidR="00F15A70" w:rsidRPr="00F15A70" w:rsidRDefault="00F15A70" w:rsidP="00F15A70">
      <w:pPr>
        <w:shd w:val="clear" w:color="auto" w:fill="FFFFFF"/>
        <w:spacing w:after="0" w:line="240" w:lineRule="auto"/>
        <w:outlineLvl w:val="4"/>
        <w:rPr>
          <w:rFonts w:ascii="Noto Sans JP" w:eastAsia="Noto Sans JP" w:hAnsi="Noto Sans JP" w:cs="Times New Roman"/>
          <w:b/>
          <w:bCs/>
          <w:color w:val="3C424F"/>
          <w:spacing w:val="30"/>
          <w:kern w:val="0"/>
          <w:sz w:val="20"/>
          <w:szCs w:val="20"/>
          <w:lang w:eastAsia="en-GB"/>
          <w14:ligatures w14:val="none"/>
        </w:rPr>
      </w:pPr>
      <w:r w:rsidRPr="00F15A70">
        <w:rPr>
          <w:rFonts w:ascii="Noto Sans JP" w:eastAsia="Noto Sans JP" w:hAnsi="Noto Sans JP" w:cs="Times New Roman"/>
          <w:b/>
          <w:bCs/>
          <w:color w:val="023F4E"/>
          <w:spacing w:val="30"/>
          <w:kern w:val="0"/>
          <w:sz w:val="20"/>
          <w:szCs w:val="20"/>
          <w:lang w:eastAsia="en-GB"/>
          <w14:ligatures w14:val="none"/>
        </w:rPr>
        <w:t>4. CREATE HUBS</w:t>
      </w:r>
    </w:p>
    <w:p w14:paraId="2E04139A" w14:textId="77777777" w:rsidR="00F15A70" w:rsidRPr="00F15A70" w:rsidRDefault="00F15A70" w:rsidP="00F15A70">
      <w:pPr>
        <w:shd w:val="clear" w:color="auto" w:fill="FFFFFF"/>
        <w:spacing w:after="0" w:line="240" w:lineRule="auto"/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</w:pPr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t>Create five regional textile recycling hubs in line with the ReHubs initiative and consistent with the EU textile strategy and with the needs of SMEs.</w:t>
      </w:r>
    </w:p>
    <w:p w14:paraId="6D70B65C" w14:textId="77777777" w:rsidR="00F15A70" w:rsidRPr="00F15A70" w:rsidRDefault="00F15A70" w:rsidP="00F15A70">
      <w:pPr>
        <w:shd w:val="clear" w:color="auto" w:fill="FFFFFF"/>
        <w:spacing w:after="0" w:line="240" w:lineRule="auto"/>
        <w:outlineLvl w:val="4"/>
        <w:rPr>
          <w:rFonts w:ascii="Noto Sans JP" w:eastAsia="Noto Sans JP" w:hAnsi="Noto Sans JP" w:cs="Times New Roman"/>
          <w:b/>
          <w:bCs/>
          <w:color w:val="3C424F"/>
          <w:spacing w:val="30"/>
          <w:kern w:val="0"/>
          <w:sz w:val="20"/>
          <w:szCs w:val="20"/>
          <w:lang w:eastAsia="en-GB"/>
          <w14:ligatures w14:val="none"/>
        </w:rPr>
      </w:pPr>
      <w:r w:rsidRPr="00F15A70">
        <w:rPr>
          <w:rFonts w:ascii="Noto Sans JP" w:eastAsia="Noto Sans JP" w:hAnsi="Noto Sans JP" w:cs="Times New Roman"/>
          <w:b/>
          <w:bCs/>
          <w:color w:val="023F4E"/>
          <w:spacing w:val="30"/>
          <w:kern w:val="0"/>
          <w:sz w:val="20"/>
          <w:szCs w:val="20"/>
          <w:lang w:eastAsia="en-GB"/>
          <w14:ligatures w14:val="none"/>
        </w:rPr>
        <w:t>5. GENERATE INVESTMENT</w:t>
      </w:r>
    </w:p>
    <w:p w14:paraId="1810E933" w14:textId="48AEFC0F" w:rsidR="00F15A70" w:rsidRDefault="00F15A70" w:rsidP="00F15A70">
      <w:pPr>
        <w:shd w:val="clear" w:color="auto" w:fill="FFFFFF"/>
        <w:spacing w:after="0" w:line="240" w:lineRule="auto"/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</w:pPr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t xml:space="preserve">RegioGreenTex ultimately aims at </w:t>
      </w:r>
      <w:r w:rsidR="00F710B6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t>g</w:t>
      </w:r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t>enerati</w:t>
      </w:r>
      <w:r w:rsidR="00F710B6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t>ng</w:t>
      </w:r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t xml:space="preserve"> investment opportunities at regional level beyond the project.</w:t>
      </w:r>
    </w:p>
    <w:p w14:paraId="0B801A83" w14:textId="77777777" w:rsidR="00F15A70" w:rsidRPr="00F15A70" w:rsidRDefault="00F15A70" w:rsidP="00F15A70">
      <w:pPr>
        <w:shd w:val="clear" w:color="auto" w:fill="FFFFFF"/>
        <w:spacing w:after="0" w:line="240" w:lineRule="auto"/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</w:pPr>
    </w:p>
    <w:p w14:paraId="3B219AA3" w14:textId="3ED8693E" w:rsidR="00F15A70" w:rsidRDefault="00F15A70" w:rsidP="00F710B6">
      <w:pPr>
        <w:pageBreakBefore/>
        <w:shd w:val="clear" w:color="auto" w:fill="FFFFFF"/>
        <w:spacing w:after="240" w:line="240" w:lineRule="auto"/>
        <w:outlineLvl w:val="1"/>
        <w:rPr>
          <w:rFonts w:ascii="Noto Sans JP" w:eastAsia="Noto Sans JP" w:hAnsi="Noto Sans JP" w:cs="Times New Roman"/>
          <w:b/>
          <w:bCs/>
          <w:color w:val="3C424F"/>
          <w:kern w:val="0"/>
          <w:sz w:val="24"/>
          <w:szCs w:val="24"/>
          <w:lang w:eastAsia="en-GB"/>
          <w14:ligatures w14:val="none"/>
        </w:rPr>
      </w:pPr>
      <w:r w:rsidRPr="00F15A70">
        <w:rPr>
          <w:rFonts w:ascii="Noto Sans JP" w:eastAsia="Noto Sans JP" w:hAnsi="Noto Sans JP" w:cs="Times New Roman"/>
          <w:b/>
          <w:bCs/>
          <w:color w:val="3C424F"/>
          <w:kern w:val="0"/>
          <w:sz w:val="24"/>
          <w:szCs w:val="24"/>
          <w:lang w:eastAsia="en-GB"/>
          <w14:ligatures w14:val="none"/>
        </w:rPr>
        <w:lastRenderedPageBreak/>
        <w:t>PARTNERS</w:t>
      </w:r>
    </w:p>
    <w:p w14:paraId="32423934" w14:textId="40E5635C" w:rsidR="00F15A70" w:rsidRPr="00F15A70" w:rsidRDefault="00F15A70" w:rsidP="00F15A70">
      <w:pPr>
        <w:shd w:val="clear" w:color="auto" w:fill="FFFFFF"/>
        <w:spacing w:after="240" w:line="240" w:lineRule="auto"/>
        <w:outlineLvl w:val="1"/>
        <w:rPr>
          <w:rFonts w:ascii="Noto Sans JP" w:eastAsia="Noto Sans JP" w:hAnsi="Noto Sans JP" w:cs="Times New Roman"/>
          <w:b/>
          <w:bCs/>
          <w:color w:val="3C424F"/>
          <w:kern w:val="0"/>
          <w:sz w:val="24"/>
          <w:szCs w:val="24"/>
          <w:lang w:eastAsia="en-GB"/>
          <w14:ligatures w14:val="none"/>
        </w:rPr>
      </w:pPr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t>RegioGreenTex promotes the collaboration in research and development between 43 partners from the four major sectors of society – industry, government, research institutes, and the public – for the textile industry. Partners come from 11 regions in 8 European countries:</w:t>
      </w:r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br/>
      </w:r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br/>
        <w:t>– Flanders (BE)</w:t>
      </w:r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br/>
        <w:t>– East Netherlands (NL)</w:t>
      </w:r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br/>
        <w:t>– Hauts-de-France &amp; Auvergne-Rhône-Alpes (FR)</w:t>
      </w:r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br/>
        <w:t>– Piedmont &amp; Tuscany (IT)</w:t>
      </w:r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br/>
        <w:t>– Norte Portugal (PT)</w:t>
      </w:r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br/>
        <w:t>– North East Romania (RO)</w:t>
      </w:r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br/>
        <w:t>– Catalunya &amp; Valencia (ES)</w:t>
      </w:r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br/>
        <w:t xml:space="preserve">– </w:t>
      </w:r>
      <w:proofErr w:type="spellStart"/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t>Västra</w:t>
      </w:r>
      <w:proofErr w:type="spellEnd"/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t>Götaland</w:t>
      </w:r>
      <w:proofErr w:type="spellEnd"/>
      <w:r w:rsidRPr="00F15A70">
        <w:rPr>
          <w:rFonts w:ascii="Noto Sans JP" w:eastAsia="Noto Sans JP" w:hAnsi="Noto Sans JP" w:cs="Times New Roman"/>
          <w:color w:val="125D67"/>
          <w:kern w:val="0"/>
          <w:sz w:val="20"/>
          <w:szCs w:val="20"/>
          <w:lang w:eastAsia="en-GB"/>
          <w14:ligatures w14:val="none"/>
        </w:rPr>
        <w:t xml:space="preserve"> (SE)</w:t>
      </w:r>
    </w:p>
    <w:p w14:paraId="319955FC" w14:textId="5C76A627" w:rsidR="00F15A70" w:rsidRDefault="00F15A70" w:rsidP="00F710B6">
      <w:pPr>
        <w:shd w:val="clear" w:color="auto" w:fill="FFFFFF"/>
        <w:spacing w:after="0" w:line="240" w:lineRule="auto"/>
        <w:rPr>
          <w:rFonts w:ascii="Muli" w:eastAsia="Times New Roman" w:hAnsi="Muli" w:cs="Times New Roman"/>
          <w:color w:val="125D67"/>
          <w:kern w:val="0"/>
          <w:sz w:val="24"/>
          <w:szCs w:val="24"/>
          <w:lang w:eastAsia="en-GB"/>
          <w14:ligatures w14:val="none"/>
        </w:rPr>
      </w:pPr>
      <w:r w:rsidRPr="00F15A70">
        <w:rPr>
          <w:rFonts w:ascii="Muli" w:eastAsia="Times New Roman" w:hAnsi="Muli" w:cs="Times New Roman"/>
          <w:noProof/>
          <w:color w:val="125D67"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10B9B0DC" wp14:editId="3E861E96">
            <wp:extent cx="3840480" cy="3840480"/>
            <wp:effectExtent l="0" t="0" r="7620" b="7620"/>
            <wp:docPr id="2" name="Picture 2" descr="Schematic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hematic,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721" cy="384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7A58B" w14:textId="77777777" w:rsidR="00F710B6" w:rsidRDefault="00F710B6" w:rsidP="00F15A70">
      <w:pPr>
        <w:shd w:val="clear" w:color="auto" w:fill="FFFFFF"/>
        <w:spacing w:after="0" w:line="240" w:lineRule="auto"/>
        <w:jc w:val="center"/>
        <w:rPr>
          <w:rFonts w:ascii="Muli" w:eastAsia="Times New Roman" w:hAnsi="Muli" w:cs="Times New Roman"/>
          <w:color w:val="125D67"/>
          <w:kern w:val="0"/>
          <w:sz w:val="24"/>
          <w:szCs w:val="24"/>
          <w:lang w:eastAsia="en-GB"/>
          <w14:ligatures w14:val="none"/>
        </w:rPr>
      </w:pPr>
    </w:p>
    <w:p w14:paraId="0C321FF0" w14:textId="77777777" w:rsidR="00F710B6" w:rsidRPr="00F15A70" w:rsidRDefault="00F710B6" w:rsidP="00F15A70">
      <w:pPr>
        <w:shd w:val="clear" w:color="auto" w:fill="FFFFFF"/>
        <w:spacing w:after="0" w:line="240" w:lineRule="auto"/>
        <w:jc w:val="center"/>
        <w:rPr>
          <w:rFonts w:ascii="Muli" w:eastAsia="Times New Roman" w:hAnsi="Muli" w:cs="Times New Roman"/>
          <w:color w:val="125D67"/>
          <w:kern w:val="0"/>
          <w:sz w:val="24"/>
          <w:szCs w:val="24"/>
          <w:lang w:eastAsia="en-GB"/>
          <w14:ligatures w14:val="none"/>
        </w:rPr>
      </w:pPr>
    </w:p>
    <w:p w14:paraId="62847312" w14:textId="6DD2D74F" w:rsidR="00F15A70" w:rsidRPr="00F15A70" w:rsidRDefault="00F15A70" w:rsidP="00F15A70">
      <w:pPr>
        <w:shd w:val="clear" w:color="auto" w:fill="FFFFFF"/>
        <w:spacing w:line="240" w:lineRule="auto"/>
        <w:rPr>
          <w:rFonts w:ascii="Muli" w:eastAsia="Times New Roman" w:hAnsi="Muli" w:cs="Times New Roman"/>
          <w:color w:val="FFFFFF"/>
          <w:kern w:val="0"/>
          <w:sz w:val="24"/>
          <w:szCs w:val="24"/>
          <w:lang w:eastAsia="en-GB"/>
          <w14:ligatures w14:val="none"/>
        </w:rPr>
      </w:pPr>
      <w:r w:rsidRPr="00F15A70">
        <w:rPr>
          <w:rFonts w:ascii="Muli" w:eastAsia="Times New Roman" w:hAnsi="Muli" w:cs="Times New Roman"/>
          <w:noProof/>
          <w:color w:val="FFFFFF"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3EC2B3C0" wp14:editId="5E2D3618">
            <wp:extent cx="2584174" cy="57661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797" cy="58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0B6">
        <w:rPr>
          <w:rFonts w:ascii="Arial" w:eastAsia="Times New Roman" w:hAnsi="Arial" w:cs="Arial"/>
          <w:noProof/>
          <w:kern w:val="0"/>
          <w:sz w:val="16"/>
          <w:szCs w:val="16"/>
          <w:lang w:eastAsia="en-GB"/>
          <w14:ligatures w14:val="none"/>
        </w:rPr>
        <w:drawing>
          <wp:inline distT="0" distB="0" distL="0" distR="0" wp14:anchorId="4C9AD7FA" wp14:editId="5C38A187">
            <wp:extent cx="2965837" cy="534278"/>
            <wp:effectExtent l="0" t="0" r="6350" b="0"/>
            <wp:docPr id="7" name="Picture 7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061" cy="55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F612B" w14:textId="58774805" w:rsidR="00F15A70" w:rsidRPr="00F15A70" w:rsidRDefault="00F15A70" w:rsidP="00F710B6">
      <w:pPr>
        <w:pBdr>
          <w:bottom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  <w:r w:rsidRPr="00F15A70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Top of Form</w:t>
      </w:r>
    </w:p>
    <w:p w14:paraId="0DD9D950" w14:textId="199BA2FB" w:rsidR="00F15A70" w:rsidRDefault="00F15A70">
      <w:r>
        <w:rPr>
          <w:rFonts w:ascii="Arial" w:eastAsia="Times New Roman" w:hAnsi="Arial" w:cs="Arial"/>
          <w:noProof/>
          <w:vanish/>
          <w:kern w:val="0"/>
          <w:sz w:val="16"/>
          <w:szCs w:val="16"/>
          <w:lang w:eastAsia="en-GB"/>
          <w14:ligatures w14:val="none"/>
        </w:rPr>
        <w:drawing>
          <wp:inline distT="0" distB="0" distL="0" distR="0" wp14:anchorId="34EEDCB1" wp14:editId="66D878B5">
            <wp:extent cx="4413250" cy="795020"/>
            <wp:effectExtent l="0" t="0" r="635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5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JP"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70"/>
    <w:rsid w:val="001701F1"/>
    <w:rsid w:val="004903CA"/>
    <w:rsid w:val="00F15A70"/>
    <w:rsid w:val="00F7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E6B4DF"/>
  <w15:chartTrackingRefBased/>
  <w15:docId w15:val="{D0FAB6A1-AAD9-4C96-86C1-3897886D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5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F15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F15A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F15A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A7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15A70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15A70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F15A70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character" w:customStyle="1" w:styleId="subscribe-2cols-section-span">
    <w:name w:val="subscribe-2cols-section-span"/>
    <w:basedOn w:val="DefaultParagraphFont"/>
    <w:rsid w:val="00F15A70"/>
  </w:style>
  <w:style w:type="character" w:styleId="Hyperlink">
    <w:name w:val="Hyperlink"/>
    <w:basedOn w:val="DefaultParagraphFont"/>
    <w:uiPriority w:val="99"/>
    <w:semiHidden/>
    <w:unhideWhenUsed/>
    <w:rsid w:val="00F15A70"/>
    <w:rPr>
      <w:color w:val="0000FF"/>
      <w:u w:val="single"/>
    </w:rPr>
  </w:style>
  <w:style w:type="paragraph" w:customStyle="1" w:styleId="lead">
    <w:name w:val="lead"/>
    <w:basedOn w:val="Normal"/>
    <w:rsid w:val="00F1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5A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15A70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screen-reader-text">
    <w:name w:val="screen-reader-text"/>
    <w:basedOn w:val="DefaultParagraphFont"/>
    <w:rsid w:val="00F15A7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15A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15A70"/>
    <w:rPr>
      <w:rFonts w:ascii="Arial" w:eastAsia="Times New Roman" w:hAnsi="Arial" w:cs="Arial"/>
      <w:vanish/>
      <w:kern w:val="0"/>
      <w:sz w:val="16"/>
      <w:szCs w:val="1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1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15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1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4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95978">
          <w:marLeft w:val="0"/>
          <w:marRight w:val="0"/>
          <w:marTop w:val="0"/>
          <w:marBottom w:val="3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61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5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0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3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535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5990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9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2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5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94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45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7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3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4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65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6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52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4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3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493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8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993448">
          <w:marLeft w:val="0"/>
          <w:marRight w:val="0"/>
          <w:marTop w:val="0"/>
          <w:marBottom w:val="0"/>
          <w:divBdr>
            <w:top w:val="none" w:sz="0" w:space="0" w:color="125D67"/>
            <w:left w:val="none" w:sz="0" w:space="0" w:color="125D67"/>
            <w:bottom w:val="none" w:sz="0" w:space="0" w:color="125D67"/>
            <w:right w:val="none" w:sz="0" w:space="0" w:color="125D67"/>
          </w:divBdr>
          <w:divsChild>
            <w:div w:id="17801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01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2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14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0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33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61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74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89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chi.mp/89740fa932b9/regiogreentex-newslette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497EDBDA8084284E319F7F4922B88" ma:contentTypeVersion="18" ma:contentTypeDescription="Crée un document." ma:contentTypeScope="" ma:versionID="544ea3fcaaf1887fefeab8b05d3b90a9">
  <xsd:schema xmlns:xsd="http://www.w3.org/2001/XMLSchema" xmlns:xs="http://www.w3.org/2001/XMLSchema" xmlns:p="http://schemas.microsoft.com/office/2006/metadata/properties" xmlns:ns2="a648fbf4-0a50-4016-aecd-a6ad14d661a8" xmlns:ns3="40ea955f-84a9-481f-9274-802af16bd87b" targetNamespace="http://schemas.microsoft.com/office/2006/metadata/properties" ma:root="true" ma:fieldsID="d97536305004b3194c7d1afa0e5943f1" ns2:_="" ns3:_="">
    <xsd:import namespace="a648fbf4-0a50-4016-aecd-a6ad14d661a8"/>
    <xsd:import namespace="40ea955f-84a9-481f-9274-802af16bd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8fbf4-0a50-4016-aecd-a6ad14d66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dde0316-2ef7-4688-a57d-086834e4e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955f-84a9-481f-9274-802af16bd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b1d7b4-887b-41c9-b70d-f4af4992f9f1}" ma:internalName="TaxCatchAll" ma:showField="CatchAllData" ma:web="40ea955f-84a9-481f-9274-802af16bd8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ea955f-84a9-481f-9274-802af16bd87b" xsi:nil="true"/>
    <lcf76f155ced4ddcb4097134ff3c332f xmlns="a648fbf4-0a50-4016-aecd-a6ad14d661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5D65CC-570B-49BA-8986-33B54DB5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B929F-1F02-4697-95F8-0FA587810558}"/>
</file>

<file path=customXml/itemProps3.xml><?xml version="1.0" encoding="utf-8"?>
<ds:datastoreItem xmlns:ds="http://schemas.openxmlformats.org/officeDocument/2006/customXml" ds:itemID="{0521DFF7-F595-49C5-B4A3-7CB44AB69FC2}">
  <ds:schemaRefs>
    <ds:schemaRef ds:uri="http://schemas.microsoft.com/office/2006/metadata/properties"/>
    <ds:schemaRef ds:uri="http://schemas.microsoft.com/office/infopath/2007/PartnerControls"/>
    <ds:schemaRef ds:uri="40ea955f-84a9-481f-9274-802af16bd87b"/>
    <ds:schemaRef ds:uri="a648fbf4-0a50-4016-aecd-a6ad14d661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Gatti</dc:creator>
  <cp:keywords/>
  <dc:description/>
  <cp:lastModifiedBy>Cristina Gatti</cp:lastModifiedBy>
  <cp:revision>2</cp:revision>
  <dcterms:created xsi:type="dcterms:W3CDTF">2023-05-02T08:25:00Z</dcterms:created>
  <dcterms:modified xsi:type="dcterms:W3CDTF">2025-02-13T14:50:00Z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0x0101006D0497EDBDA8084284E319F7F4922B88</vt:lpwstr>
  </property>
  <property fmtid="{D5CDD505-2E9C-101B-9397-08002B2CF9AE}" pid="3" name="MediaServiceImageTags">
    <vt:lpwstr/>
  </property>
</Properties>
</file>